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320B57">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6733E8">
        <w:rPr>
          <w:rFonts w:ascii="Arial" w:hAnsi="Arial"/>
          <w:b/>
          <w:sz w:val="38"/>
        </w:rPr>
        <w:t>4</w:t>
      </w:r>
      <w:r w:rsidR="00B57776">
        <w:rPr>
          <w:rFonts w:ascii="Arial" w:hAnsi="Arial"/>
          <w:b/>
          <w:sz w:val="38"/>
        </w:rPr>
        <w:t>4</w:t>
      </w:r>
      <w:r w:rsidR="00872B3F">
        <w:rPr>
          <w:rFonts w:ascii="Arial" w:hAnsi="Arial"/>
          <w:b/>
          <w:sz w:val="38"/>
        </w:rPr>
        <w:t>/</w:t>
      </w:r>
      <w:r w:rsidR="00D67E24">
        <w:rPr>
          <w:rFonts w:ascii="Arial" w:hAnsi="Arial"/>
          <w:b/>
          <w:sz w:val="38"/>
        </w:rPr>
        <w:t>20</w:t>
      </w:r>
      <w:r w:rsidR="00BB248E">
        <w:rPr>
          <w:rFonts w:ascii="Arial" w:hAnsi="Arial"/>
          <w:b/>
          <w:sz w:val="38"/>
        </w:rPr>
        <w:t>2</w:t>
      </w:r>
      <w:r w:rsidR="00EF34C0">
        <w:rPr>
          <w:rFonts w:ascii="Arial" w:hAnsi="Arial"/>
          <w:b/>
          <w:sz w:val="38"/>
        </w:rPr>
        <w:t>1</w:t>
      </w:r>
      <w:r w:rsidR="00872B3F">
        <w:rPr>
          <w:rFonts w:ascii="Arial" w:hAnsi="Arial"/>
          <w:b/>
          <w:sz w:val="38"/>
        </w:rPr>
        <w:t>-2</w:t>
      </w:r>
      <w:r w:rsidR="00EF34C0">
        <w:rPr>
          <w:rFonts w:ascii="Arial" w:hAnsi="Arial"/>
          <w:b/>
          <w:sz w:val="38"/>
        </w:rPr>
        <w:t>2</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320B57">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B817E3">
                    <w:pPr>
                      <w:jc w:val="both"/>
                      <w:rPr>
                        <w:rFonts w:ascii="Arial"/>
                        <w:sz w:val="62"/>
                        <w:szCs w:val="52"/>
                      </w:rPr>
                    </w:pPr>
                    <w:r>
                      <w:rPr>
                        <w:rFonts w:ascii="Arial"/>
                        <w:color w:val="FFFFFF"/>
                        <w:sz w:val="32"/>
                      </w:rPr>
                      <w:t xml:space="preserve">Tender description (brief details of works/supply): </w:t>
                    </w:r>
                    <w:r w:rsidR="00B57776" w:rsidRPr="00B57776">
                      <w:rPr>
                        <w:rFonts w:ascii="Kruti Dev 010" w:hAnsi="Kruti Dev 010"/>
                        <w:bCs/>
                        <w:sz w:val="42"/>
                        <w:szCs w:val="42"/>
                      </w:rPr>
                      <w:t>fo|qr forj.k [k.M] eqjknuxj o [k.M ds v/khu mi[k.M dk;kZy;ksa esa foHkkxh; dEI;wVj@ySiVki ¼vkijsfVax flLVe] tkok] MªkbZoj baLVkys”ku ,oa vU; lkW¶Vos;j lacaf/kr dk;Z½ ,oa fizUVj ,oa LdSuj ds okf’kZd vuqj{k.k dk dk;Z rFkk dkVsZV fjQfyax laca/kh leLr dk;Z foRrh; o’kZ 2022&amp;23 gsr</w:t>
                    </w:r>
                    <w:r w:rsidR="00B57776" w:rsidRPr="00B57776">
                      <w:rPr>
                        <w:rFonts w:ascii="Kruti Dev 010" w:hAnsi="Kruti Dev 010"/>
                        <w:b/>
                        <w:sz w:val="42"/>
                        <w:szCs w:val="42"/>
                      </w:rPr>
                      <w:t>qA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320B57">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Pr>
                        <w:i/>
                        <w:w w:val="95"/>
                        <w:sz w:val="32"/>
                        <w:highlight w:val="yellow"/>
                      </w:rPr>
                      <w:t>30.03</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Pr>
                        <w:b/>
                        <w:bCs/>
                        <w:i/>
                        <w:sz w:val="32"/>
                        <w:highlight w:val="yellow"/>
                      </w:rPr>
                      <w:t>3</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739FC">
        <w:t>3421</w:t>
      </w:r>
      <w:r>
        <w:tab/>
        <w:t>Dated:</w:t>
      </w:r>
      <w:r w:rsidR="00126E0F">
        <w:t xml:space="preserve"> </w:t>
      </w:r>
      <w:r w:rsidR="00B739FC">
        <w:t>15-03-2022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B739FC">
              <w:rPr>
                <w:b/>
                <w:bCs/>
                <w:sz w:val="24"/>
                <w:szCs w:val="24"/>
              </w:rPr>
              <w:t>4</w:t>
            </w:r>
            <w:r w:rsidR="002B59D8">
              <w:rPr>
                <w:b/>
                <w:bCs/>
                <w:sz w:val="24"/>
                <w:szCs w:val="24"/>
              </w:rPr>
              <w:t>4</w:t>
            </w:r>
            <w:r w:rsidR="00C32F95" w:rsidRPr="00C32F95">
              <w:rPr>
                <w:b/>
                <w:bCs/>
                <w:sz w:val="24"/>
                <w:szCs w:val="24"/>
              </w:rPr>
              <w:t>/2021-22/E.D.C/GZB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2B59D8" w:rsidP="00B739FC">
            <w:pPr>
              <w:pStyle w:val="TableParagraph"/>
              <w:spacing w:line="240" w:lineRule="auto"/>
              <w:ind w:left="0"/>
              <w:jc w:val="both"/>
            </w:pPr>
            <w:r w:rsidRPr="002B59D8">
              <w:rPr>
                <w:rFonts w:ascii="Kruti Dev 010" w:hAnsi="Kruti Dev 010"/>
                <w:bCs/>
                <w:sz w:val="26"/>
                <w:szCs w:val="26"/>
              </w:rPr>
              <w:t>fo|qr forj.k [k.M] eqjknuxj o [k.M ds v/khu mi[k.M dk;kZy;ksa esa foHkkxh; dEI;wVj@ySiVki ¼vkijsfVax flLVe] tkok] MªkbZoj baLVkys”ku ,oa vU; lkW¶Vos;j lacaf/kr dk;Z½ ,oa fizUVj ,oa LdSuj ds okf’kZd vuqj{k.k dk dk;Z rFkk dkVsZV fjQfyax laca/kh leLr dk;Z foRrh; o’kZ 2022&amp;23 gsr</w:t>
            </w:r>
            <w:r w:rsidRPr="002B59D8">
              <w:rPr>
                <w:rFonts w:ascii="Kruti Dev 010" w:hAnsi="Kruti Dev 010"/>
                <w:b/>
                <w:sz w:val="26"/>
                <w:szCs w:val="26"/>
              </w:rPr>
              <w:t>qA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r w:rsidRPr="00493345">
              <w:rPr>
                <w:b/>
                <w:bCs/>
                <w:highlight w:val="yellow"/>
              </w:rPr>
              <w:t xml:space="preserve">Rs.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167F74" w:rsidP="006D2888">
            <w:pPr>
              <w:pStyle w:val="TableParagraph"/>
              <w:spacing w:line="240" w:lineRule="auto"/>
              <w:ind w:left="0"/>
              <w:jc w:val="center"/>
              <w:rPr>
                <w:highlight w:val="yellow"/>
              </w:rPr>
            </w:pPr>
            <w:r>
              <w:rPr>
                <w:highlight w:val="yellow"/>
              </w:rPr>
              <w:t>2</w:t>
            </w:r>
            <w:r w:rsidR="006D2888">
              <w:rPr>
                <w:highlight w:val="yellow"/>
              </w:rPr>
              <w:t>4</w:t>
            </w:r>
            <w:r w:rsidR="00BB248E">
              <w:rPr>
                <w:highlight w:val="yellow"/>
              </w:rPr>
              <w:t>-0</w:t>
            </w:r>
            <w:r>
              <w:rPr>
                <w:highlight w:val="yellow"/>
              </w:rPr>
              <w:t>3</w:t>
            </w:r>
            <w:r w:rsidR="00BB248E">
              <w:rPr>
                <w:highlight w:val="yellow"/>
              </w:rPr>
              <w:t>-202</w:t>
            </w:r>
            <w:r w:rsidR="00814BE3">
              <w:rPr>
                <w:highlight w:val="yellow"/>
              </w:rPr>
              <w:t>2</w:t>
            </w:r>
            <w:r w:rsidR="00BB248E" w:rsidRPr="00AA0274">
              <w:rPr>
                <w:highlight w:val="yellow"/>
              </w:rPr>
              <w:t xml:space="preserve">, </w:t>
            </w:r>
            <w:r w:rsidR="00814BE3">
              <w:rPr>
                <w:highlight w:val="yellow"/>
              </w:rPr>
              <w:t>14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4C6387">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2</w:t>
            </w:r>
            <w:r w:rsidR="006D2888">
              <w:rPr>
                <w:highlight w:val="yellow"/>
              </w:rPr>
              <w:t>4</w:t>
            </w:r>
            <w:bookmarkStart w:id="0" w:name="_GoBack"/>
            <w:bookmarkEnd w:id="0"/>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Default="000B741B" w:rsidP="000B741B">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for the best Three years out of the last Five Financial years MAAT should not be less than Rs. ……….. (150% of the estimated cost)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lastRenderedPageBreak/>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B57" w:rsidRDefault="00320B57">
      <w:r>
        <w:separator/>
      </w:r>
    </w:p>
  </w:endnote>
  <w:endnote w:type="continuationSeparator" w:id="0">
    <w:p w:rsidR="00320B57" w:rsidRDefault="0032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6D2888">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D2888">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B57" w:rsidRDefault="00320B57">
      <w:r>
        <w:separator/>
      </w:r>
    </w:p>
  </w:footnote>
  <w:footnote w:type="continuationSeparator" w:id="0">
    <w:p w:rsidR="00320B57" w:rsidRDefault="00320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20B57"/>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4973"/>
    <w:rsid w:val="00476EBF"/>
    <w:rsid w:val="0048762A"/>
    <w:rsid w:val="00493345"/>
    <w:rsid w:val="004C6387"/>
    <w:rsid w:val="005327A5"/>
    <w:rsid w:val="00540C00"/>
    <w:rsid w:val="00547322"/>
    <w:rsid w:val="00552A2D"/>
    <w:rsid w:val="005C65C7"/>
    <w:rsid w:val="005D79BC"/>
    <w:rsid w:val="005F7610"/>
    <w:rsid w:val="00642B78"/>
    <w:rsid w:val="00647433"/>
    <w:rsid w:val="006733E8"/>
    <w:rsid w:val="00684906"/>
    <w:rsid w:val="00690F38"/>
    <w:rsid w:val="00693335"/>
    <w:rsid w:val="006A78E3"/>
    <w:rsid w:val="006D2888"/>
    <w:rsid w:val="006F43A2"/>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07E59"/>
    <w:rsid w:val="00A31B41"/>
    <w:rsid w:val="00A5697B"/>
    <w:rsid w:val="00A933A1"/>
    <w:rsid w:val="00AA2543"/>
    <w:rsid w:val="00AB7EFA"/>
    <w:rsid w:val="00AD2610"/>
    <w:rsid w:val="00B06926"/>
    <w:rsid w:val="00B23491"/>
    <w:rsid w:val="00B36ED7"/>
    <w:rsid w:val="00B57776"/>
    <w:rsid w:val="00B739FC"/>
    <w:rsid w:val="00B765E3"/>
    <w:rsid w:val="00B817E3"/>
    <w:rsid w:val="00BB248E"/>
    <w:rsid w:val="00BF4E57"/>
    <w:rsid w:val="00C32F95"/>
    <w:rsid w:val="00C735F3"/>
    <w:rsid w:val="00C75871"/>
    <w:rsid w:val="00C77A68"/>
    <w:rsid w:val="00C825E7"/>
    <w:rsid w:val="00CB7A58"/>
    <w:rsid w:val="00CF2387"/>
    <w:rsid w:val="00CF2B80"/>
    <w:rsid w:val="00D060FF"/>
    <w:rsid w:val="00D13E9B"/>
    <w:rsid w:val="00D22E4F"/>
    <w:rsid w:val="00D36B55"/>
    <w:rsid w:val="00D43A99"/>
    <w:rsid w:val="00D65572"/>
    <w:rsid w:val="00D67E24"/>
    <w:rsid w:val="00D72893"/>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1"/>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1"/>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32</Pages>
  <Words>11403</Words>
  <Characters>64999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32</cp:revision>
  <cp:lastPrinted>2022-03-24T08:11:00Z</cp:lastPrinted>
  <dcterms:created xsi:type="dcterms:W3CDTF">2021-07-23T00:52:00Z</dcterms:created>
  <dcterms:modified xsi:type="dcterms:W3CDTF">2022-03-24T08:11:00Z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